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6"/>
          <w:szCs w:val="46"/>
        </w:rPr>
      </w:pPr>
      <w:r w:rsidDel="00000000" w:rsidR="00000000" w:rsidRPr="00000000">
        <w:rPr>
          <w:b w:val="1"/>
          <w:sz w:val="46"/>
          <w:szCs w:val="46"/>
          <w:rtl w:val="0"/>
        </w:rPr>
        <w:t xml:space="preserve">CALENDÁRIO DE REUNIÕES 2024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6"/>
          <w:szCs w:val="46"/>
        </w:rPr>
      </w:pPr>
      <w:r w:rsidDel="00000000" w:rsidR="00000000" w:rsidRPr="00000000">
        <w:rPr>
          <w:b w:val="1"/>
          <w:sz w:val="46"/>
          <w:szCs w:val="46"/>
          <w:rtl w:val="0"/>
        </w:rPr>
        <w:t xml:space="preserve">COMITÊ DE INVESTIMENTOS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80"/>
        <w:gridCol w:w="1620"/>
        <w:gridCol w:w="3000"/>
        <w:tblGridChange w:id="0">
          <w:tblGrid>
            <w:gridCol w:w="4380"/>
            <w:gridCol w:w="1620"/>
            <w:gridCol w:w="3000"/>
          </w:tblGrid>
        </w:tblGridChange>
      </w:tblGrid>
      <w:tr>
        <w:trPr>
          <w:cantSplit w:val="0"/>
          <w:trHeight w:val="47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REUNIÃO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MÊS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01º Reunião Ordinária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Janeiro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02º Reunião Ordinária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Fevereiro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03º Reunião Ordinária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Março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04º Reunião Ordinária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Abril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05º Reunião Ordinária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06º Reunião Ordinária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Junho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07º Reunião Ordinária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Julho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08º Reunião Ordinária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Agosto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09º Reunião Ordinária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Setembro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  <w:t xml:space="preserve">º Reunião Ordinária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Outubro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  <w:t xml:space="preserve">º Reunião Ordinária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Novembro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  <w:t xml:space="preserve">º Reunião Ordinária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Dezembro</w:t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PAUTAS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Cenário macroeconômico.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Análise do relatório mensal de investimentos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Dados atualizados dos fluxos de caixa e dos investimentos, com visão de curto e longo prazo.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Propostas de investimentos e respectivas análises técnicas, inclusive de riscos.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 necessário, pauta extra.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